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A8D" w:rsidRPr="002150B7" w:rsidRDefault="00693A8D" w:rsidP="002150B7">
      <w:pPr>
        <w:jc w:val="center"/>
        <w:rPr>
          <w:b/>
        </w:rPr>
      </w:pPr>
      <w:r w:rsidRPr="002150B7">
        <w:rPr>
          <w:b/>
        </w:rPr>
        <w:t xml:space="preserve">Follow up </w:t>
      </w:r>
      <w:r w:rsidR="00121478">
        <w:rPr>
          <w:b/>
        </w:rPr>
        <w:t xml:space="preserve">Notes </w:t>
      </w:r>
      <w:r w:rsidRPr="002150B7">
        <w:rPr>
          <w:b/>
        </w:rPr>
        <w:t>from the October 29, 2019, “Ask a Clinician” Virtual PD Workshop</w:t>
      </w:r>
    </w:p>
    <w:p w:rsidR="00693A8D" w:rsidRDefault="00693A8D"/>
    <w:p w:rsidR="00693A8D" w:rsidRDefault="00693A8D" w:rsidP="002150B7">
      <w:pPr>
        <w:spacing w:line="276" w:lineRule="auto"/>
      </w:pPr>
      <w:r>
        <w:t>Thank you to the Finger Lakes Community Health, Behavioral Health Team, for discussing the scenarios sent ahead of time and for making time to discuss scenarios/questions from participants during the workshop.</w:t>
      </w:r>
    </w:p>
    <w:p w:rsidR="00693A8D" w:rsidRDefault="00693A8D" w:rsidP="002150B7">
      <w:pPr>
        <w:spacing w:line="276" w:lineRule="auto"/>
      </w:pPr>
    </w:p>
    <w:p w:rsidR="00693A8D" w:rsidRDefault="00693A8D" w:rsidP="002150B7">
      <w:pPr>
        <w:spacing w:line="276" w:lineRule="auto"/>
      </w:pPr>
      <w:r>
        <w:t>These scenarios included</w:t>
      </w:r>
      <w:r w:rsidR="001363DC">
        <w:t xml:space="preserve"> situations that can trigger behavioral health issues, such as students dealing with </w:t>
      </w:r>
      <w:r w:rsidR="006E1488">
        <w:t xml:space="preserve">the realization that their immigration status can hinder their plans to afford going to college; </w:t>
      </w:r>
      <w:r w:rsidR="001363DC">
        <w:t>a death in the family; parents in deportation; being in a new country</w:t>
      </w:r>
      <w:r w:rsidR="00700B55">
        <w:t xml:space="preserve"> and missing their old way of life</w:t>
      </w:r>
      <w:r w:rsidR="001363DC">
        <w:t xml:space="preserve">; bullying; substance abuse; divorce; and eating disorders. </w:t>
      </w:r>
    </w:p>
    <w:p w:rsidR="001363DC" w:rsidRDefault="001363DC" w:rsidP="002150B7">
      <w:pPr>
        <w:spacing w:line="276" w:lineRule="auto"/>
      </w:pPr>
    </w:p>
    <w:p w:rsidR="00D91F9D" w:rsidRPr="00D91F9D" w:rsidRDefault="00D91F9D" w:rsidP="002150B7">
      <w:pPr>
        <w:spacing w:line="276" w:lineRule="auto"/>
        <w:rPr>
          <w:b/>
          <w:u w:val="single"/>
        </w:rPr>
      </w:pPr>
      <w:r w:rsidRPr="00D91F9D">
        <w:rPr>
          <w:b/>
          <w:u w:val="single"/>
        </w:rPr>
        <w:t>Summary by TASC</w:t>
      </w:r>
    </w:p>
    <w:p w:rsidR="001363DC" w:rsidRDefault="001363DC" w:rsidP="002150B7">
      <w:pPr>
        <w:spacing w:line="276" w:lineRule="auto"/>
      </w:pPr>
      <w:r>
        <w:t>The first advice in each situation was to create a safe space in the tutoring session</w:t>
      </w:r>
      <w:r w:rsidR="006E1488">
        <w:t>. Building a relationship with the student and family, so it is comfortable for you to c</w:t>
      </w:r>
      <w:r>
        <w:t>heck in with</w:t>
      </w:r>
      <w:r w:rsidR="006E1488">
        <w:t xml:space="preserve"> </w:t>
      </w:r>
      <w:r>
        <w:t xml:space="preserve">the student’s day is going and the student can speak about what is on their mind. </w:t>
      </w:r>
    </w:p>
    <w:p w:rsidR="001363DC" w:rsidRDefault="001363DC" w:rsidP="002150B7">
      <w:pPr>
        <w:pStyle w:val="ListParagraph"/>
        <w:numPr>
          <w:ilvl w:val="0"/>
          <w:numId w:val="1"/>
        </w:numPr>
        <w:spacing w:line="276" w:lineRule="auto"/>
      </w:pPr>
      <w:r>
        <w:t>From the perspective of trauma-informed instruction, students need someone to listen to them before they are able to focus on instruction.</w:t>
      </w:r>
    </w:p>
    <w:p w:rsidR="001751C8" w:rsidRDefault="001751C8" w:rsidP="002150B7">
      <w:pPr>
        <w:pStyle w:val="ListParagraph"/>
        <w:numPr>
          <w:ilvl w:val="0"/>
          <w:numId w:val="1"/>
        </w:numPr>
        <w:spacing w:line="276" w:lineRule="auto"/>
      </w:pPr>
      <w:r>
        <w:t>Giving students time to talk.</w:t>
      </w:r>
    </w:p>
    <w:p w:rsidR="001751C8" w:rsidRDefault="001751C8" w:rsidP="002150B7">
      <w:pPr>
        <w:pStyle w:val="ListParagraph"/>
        <w:numPr>
          <w:ilvl w:val="0"/>
          <w:numId w:val="1"/>
        </w:numPr>
        <w:spacing w:line="276" w:lineRule="auto"/>
      </w:pPr>
      <w:r>
        <w:t>Bottom line: Listen.</w:t>
      </w:r>
    </w:p>
    <w:p w:rsidR="001751C8" w:rsidRDefault="001751C8" w:rsidP="002150B7">
      <w:pPr>
        <w:spacing w:line="276" w:lineRule="auto"/>
      </w:pPr>
    </w:p>
    <w:p w:rsidR="001751C8" w:rsidRDefault="001751C8" w:rsidP="002150B7">
      <w:pPr>
        <w:spacing w:line="276" w:lineRule="auto"/>
      </w:pPr>
      <w:r w:rsidRPr="001751C8">
        <w:rPr>
          <w:b/>
        </w:rPr>
        <w:t>Red Flag</w:t>
      </w:r>
    </w:p>
    <w:p w:rsidR="001751C8" w:rsidRDefault="001751C8" w:rsidP="002150B7">
      <w:pPr>
        <w:spacing w:line="276" w:lineRule="auto"/>
      </w:pPr>
      <w:r>
        <w:t>It is common for someone to need to talk about a concern for two to three sessions and then to be over it. However, when the need to talk about it continues on, it can be a sign that the student needs help coping</w:t>
      </w:r>
    </w:p>
    <w:p w:rsidR="001751C8" w:rsidRDefault="001751C8" w:rsidP="002150B7">
      <w:pPr>
        <w:spacing w:line="276" w:lineRule="auto"/>
      </w:pPr>
    </w:p>
    <w:p w:rsidR="00693A8D" w:rsidRDefault="00185A64" w:rsidP="002150B7">
      <w:pPr>
        <w:spacing w:line="276" w:lineRule="auto"/>
      </w:pPr>
      <w:r w:rsidRPr="001751C8">
        <w:rPr>
          <w:b/>
        </w:rPr>
        <w:t>Migrant Educators should let their Directors know when have concerns about a student, to help decide next steps.</w:t>
      </w:r>
      <w:r>
        <w:t xml:space="preserve">  Depending on the individual situation, next steps might include (</w:t>
      </w:r>
      <w:r w:rsidR="001751C8">
        <w:t>these</w:t>
      </w:r>
      <w:r>
        <w:t xml:space="preserve"> are not </w:t>
      </w:r>
      <w:r w:rsidR="001751C8">
        <w:t xml:space="preserve">listed </w:t>
      </w:r>
      <w:r>
        <w:t xml:space="preserve">in any </w:t>
      </w:r>
      <w:r w:rsidR="001751C8">
        <w:t xml:space="preserve">particular </w:t>
      </w:r>
      <w:r>
        <w:t>order):</w:t>
      </w:r>
    </w:p>
    <w:p w:rsidR="00D91F9D" w:rsidRDefault="00185A64" w:rsidP="002150B7">
      <w:pPr>
        <w:pStyle w:val="ListParagraph"/>
        <w:numPr>
          <w:ilvl w:val="0"/>
          <w:numId w:val="1"/>
        </w:numPr>
        <w:spacing w:line="276" w:lineRule="auto"/>
      </w:pPr>
      <w:r>
        <w:t xml:space="preserve">Referral to </w:t>
      </w:r>
    </w:p>
    <w:p w:rsidR="00D91F9D" w:rsidRDefault="00185A64" w:rsidP="002150B7">
      <w:pPr>
        <w:pStyle w:val="ListParagraph"/>
        <w:numPr>
          <w:ilvl w:val="1"/>
          <w:numId w:val="1"/>
        </w:numPr>
        <w:spacing w:line="276" w:lineRule="auto"/>
      </w:pPr>
      <w:r>
        <w:t>school counselor</w:t>
      </w:r>
    </w:p>
    <w:p w:rsidR="00D91F9D" w:rsidRDefault="006E1488" w:rsidP="002150B7">
      <w:pPr>
        <w:pStyle w:val="ListParagraph"/>
        <w:numPr>
          <w:ilvl w:val="1"/>
          <w:numId w:val="1"/>
        </w:numPr>
        <w:spacing w:line="276" w:lineRule="auto"/>
      </w:pPr>
      <w:r>
        <w:t xml:space="preserve">primary </w:t>
      </w:r>
      <w:r w:rsidR="00D91F9D">
        <w:t xml:space="preserve">health </w:t>
      </w:r>
      <w:r>
        <w:t>care</w:t>
      </w:r>
      <w:r w:rsidR="00D91F9D">
        <w:t xml:space="preserve"> provider</w:t>
      </w:r>
    </w:p>
    <w:p w:rsidR="00D91F9D" w:rsidRDefault="00D91F9D" w:rsidP="002150B7">
      <w:pPr>
        <w:pStyle w:val="ListParagraph"/>
        <w:numPr>
          <w:ilvl w:val="1"/>
          <w:numId w:val="1"/>
        </w:numPr>
        <w:spacing w:line="276" w:lineRule="auto"/>
      </w:pPr>
      <w:r>
        <w:t>counseling</w:t>
      </w:r>
    </w:p>
    <w:p w:rsidR="00D91F9D" w:rsidRDefault="006E1488" w:rsidP="002150B7">
      <w:pPr>
        <w:pStyle w:val="ListParagraph"/>
        <w:numPr>
          <w:ilvl w:val="1"/>
          <w:numId w:val="1"/>
        </w:numPr>
        <w:spacing w:line="276" w:lineRule="auto"/>
      </w:pPr>
      <w:r>
        <w:t>local, free, legal advocate</w:t>
      </w:r>
    </w:p>
    <w:p w:rsidR="001751C8" w:rsidRDefault="00D91F9D" w:rsidP="002150B7">
      <w:pPr>
        <w:pStyle w:val="ListParagraph"/>
        <w:numPr>
          <w:ilvl w:val="0"/>
          <w:numId w:val="1"/>
        </w:numPr>
        <w:spacing w:line="276" w:lineRule="auto"/>
      </w:pPr>
      <w:r>
        <w:t xml:space="preserve">Report </w:t>
      </w:r>
      <w:r w:rsidR="00121478">
        <w:t>when</w:t>
      </w:r>
      <w:r>
        <w:t xml:space="preserve"> it is </w:t>
      </w:r>
      <w:r w:rsidR="001751C8">
        <w:t>a mandated reporter situation</w:t>
      </w:r>
    </w:p>
    <w:p w:rsidR="00185A64" w:rsidRDefault="00185A64" w:rsidP="002150B7">
      <w:pPr>
        <w:pStyle w:val="ListParagraph"/>
        <w:numPr>
          <w:ilvl w:val="0"/>
          <w:numId w:val="1"/>
        </w:numPr>
        <w:spacing w:line="276" w:lineRule="auto"/>
      </w:pPr>
      <w:r>
        <w:t>Conversation with student and/or parent: “It seems like this is something you need to talk about with someone, is it okay if I see if I can link you with someone to talk with?”</w:t>
      </w:r>
    </w:p>
    <w:p w:rsidR="00185A64" w:rsidRDefault="006E1488" w:rsidP="002150B7">
      <w:pPr>
        <w:pStyle w:val="ListParagraph"/>
        <w:numPr>
          <w:ilvl w:val="0"/>
          <w:numId w:val="1"/>
        </w:numPr>
        <w:spacing w:line="276" w:lineRule="auto"/>
      </w:pPr>
      <w:r>
        <w:t>In tutoring sessions, w</w:t>
      </w:r>
      <w:r w:rsidR="00185A64">
        <w:t xml:space="preserve">ork on </w:t>
      </w:r>
      <w:r w:rsidR="00121478">
        <w:t>goal setting</w:t>
      </w:r>
      <w:r w:rsidR="00185A64">
        <w:t xml:space="preserve"> with students, to help them regain some control in part of their life</w:t>
      </w:r>
      <w:r w:rsidR="00700B55">
        <w:t>.</w:t>
      </w:r>
    </w:p>
    <w:p w:rsidR="00D91F9D" w:rsidRPr="00700B55" w:rsidRDefault="00D91F9D" w:rsidP="002150B7">
      <w:pPr>
        <w:spacing w:line="276" w:lineRule="auto"/>
        <w:rPr>
          <w:b/>
        </w:rPr>
      </w:pPr>
      <w:r w:rsidRPr="00700B55">
        <w:rPr>
          <w:b/>
        </w:rPr>
        <w:lastRenderedPageBreak/>
        <w:t>Preparation</w:t>
      </w:r>
    </w:p>
    <w:p w:rsidR="008D7523" w:rsidRDefault="00D91F9D" w:rsidP="002150B7">
      <w:pPr>
        <w:spacing w:line="276" w:lineRule="auto"/>
      </w:pPr>
      <w:r>
        <w:t xml:space="preserve">METS and Migrant Educators can take some steps to be prepared to deal with issues. </w:t>
      </w:r>
    </w:p>
    <w:p w:rsidR="00D91F9D" w:rsidRDefault="00D91F9D" w:rsidP="002150B7">
      <w:pPr>
        <w:pStyle w:val="ListParagraph"/>
        <w:numPr>
          <w:ilvl w:val="0"/>
          <w:numId w:val="5"/>
        </w:numPr>
        <w:spacing w:line="276" w:lineRule="auto"/>
      </w:pPr>
      <w:r>
        <w:t xml:space="preserve">Discuss protocols within the METS, such as calling the Director when issues </w:t>
      </w:r>
      <w:r w:rsidR="008D7523">
        <w:t>arise to discuss next steps.</w:t>
      </w:r>
      <w:r>
        <w:t xml:space="preserve"> </w:t>
      </w:r>
    </w:p>
    <w:p w:rsidR="00D91F9D" w:rsidRDefault="00D91F9D" w:rsidP="002150B7">
      <w:pPr>
        <w:pStyle w:val="ListParagraph"/>
        <w:numPr>
          <w:ilvl w:val="0"/>
          <w:numId w:val="5"/>
        </w:numPr>
        <w:spacing w:line="276" w:lineRule="auto"/>
      </w:pPr>
      <w:r>
        <w:t>Continue b</w:t>
      </w:r>
      <w:r w:rsidR="001751C8">
        <w:t>uilding relationship</w:t>
      </w:r>
      <w:r>
        <w:t>s</w:t>
      </w:r>
      <w:r w:rsidR="001751C8">
        <w:t xml:space="preserve"> </w:t>
      </w:r>
    </w:p>
    <w:p w:rsidR="00D91F9D" w:rsidRDefault="00D91F9D" w:rsidP="002150B7">
      <w:pPr>
        <w:pStyle w:val="ListParagraph"/>
        <w:numPr>
          <w:ilvl w:val="1"/>
          <w:numId w:val="1"/>
        </w:numPr>
        <w:spacing w:line="276" w:lineRule="auto"/>
      </w:pPr>
      <w:r>
        <w:t>with the student and family</w:t>
      </w:r>
    </w:p>
    <w:p w:rsidR="00D91F9D" w:rsidRDefault="001751C8" w:rsidP="002150B7">
      <w:pPr>
        <w:pStyle w:val="ListParagraph"/>
        <w:numPr>
          <w:ilvl w:val="1"/>
          <w:numId w:val="1"/>
        </w:numPr>
        <w:spacing w:line="276" w:lineRule="auto"/>
      </w:pPr>
      <w:r>
        <w:t>with the school</w:t>
      </w:r>
    </w:p>
    <w:p w:rsidR="006E1488" w:rsidRDefault="00D91F9D" w:rsidP="002150B7">
      <w:pPr>
        <w:pStyle w:val="ListParagraph"/>
        <w:numPr>
          <w:ilvl w:val="1"/>
          <w:numId w:val="1"/>
        </w:numPr>
        <w:spacing w:line="276" w:lineRule="auto"/>
      </w:pPr>
      <w:r>
        <w:t xml:space="preserve">with </w:t>
      </w:r>
      <w:r w:rsidR="006E1488">
        <w:t>community agencies</w:t>
      </w:r>
      <w:r w:rsidR="001751C8">
        <w:t>, learning their referral processes</w:t>
      </w:r>
    </w:p>
    <w:p w:rsidR="00700B55" w:rsidRDefault="00700B55" w:rsidP="002150B7">
      <w:pPr>
        <w:pStyle w:val="ListParagraph"/>
        <w:numPr>
          <w:ilvl w:val="0"/>
          <w:numId w:val="1"/>
        </w:numPr>
        <w:spacing w:line="276" w:lineRule="auto"/>
      </w:pPr>
      <w:r>
        <w:t>Continue to give students space to talk</w:t>
      </w:r>
    </w:p>
    <w:p w:rsidR="00700B55" w:rsidRDefault="00700B55" w:rsidP="002150B7">
      <w:pPr>
        <w:pStyle w:val="ListParagraph"/>
        <w:numPr>
          <w:ilvl w:val="0"/>
          <w:numId w:val="1"/>
        </w:numPr>
        <w:spacing w:line="276" w:lineRule="auto"/>
      </w:pPr>
      <w:r>
        <w:t>Continue to make time to listen</w:t>
      </w:r>
    </w:p>
    <w:p w:rsidR="006E1488" w:rsidRDefault="008D7523" w:rsidP="002150B7">
      <w:pPr>
        <w:pStyle w:val="ListParagraph"/>
        <w:numPr>
          <w:ilvl w:val="0"/>
          <w:numId w:val="1"/>
        </w:numPr>
        <w:spacing w:line="276" w:lineRule="auto"/>
      </w:pPr>
      <w:r>
        <w:t xml:space="preserve">New Fall 2019: </w:t>
      </w:r>
      <w:r w:rsidR="006E1488" w:rsidRPr="008D7523">
        <w:t xml:space="preserve"> </w:t>
      </w:r>
      <w:r w:rsidR="006E1488">
        <w:t xml:space="preserve">Students in </w:t>
      </w:r>
      <w:r w:rsidR="001751C8">
        <w:t>New York State</w:t>
      </w:r>
      <w:r w:rsidR="006E1488">
        <w:t xml:space="preserve"> now have the NYS DREAM Act to support undocumented students with some of the college cost</w:t>
      </w:r>
    </w:p>
    <w:p w:rsidR="001751C8" w:rsidRDefault="001751C8" w:rsidP="002150B7">
      <w:pPr>
        <w:spacing w:line="276" w:lineRule="auto"/>
      </w:pPr>
    </w:p>
    <w:p w:rsidR="001751C8" w:rsidRDefault="001751C8" w:rsidP="002150B7">
      <w:pPr>
        <w:spacing w:line="276" w:lineRule="auto"/>
      </w:pPr>
      <w:r w:rsidRPr="008D7523">
        <w:rPr>
          <w:b/>
          <w:u w:val="single"/>
        </w:rPr>
        <w:t>Agencies and website resources provided during the workshop</w:t>
      </w:r>
      <w:r w:rsidR="008D7523" w:rsidRPr="008D7523">
        <w:rPr>
          <w:b/>
          <w:u w:val="single"/>
        </w:rPr>
        <w:t xml:space="preserve"> and captured by TASC</w:t>
      </w:r>
    </w:p>
    <w:p w:rsidR="009F0223" w:rsidRDefault="009F0223" w:rsidP="002150B7">
      <w:pPr>
        <w:spacing w:line="276" w:lineRule="auto"/>
      </w:pPr>
      <w:r w:rsidRPr="008D7523">
        <w:rPr>
          <w:b/>
          <w:i/>
        </w:rPr>
        <w:t>Health Homes</w:t>
      </w:r>
      <w:r>
        <w:t xml:space="preserve"> provides </w:t>
      </w:r>
      <w:r w:rsidR="00700B55">
        <w:t>care management</w:t>
      </w:r>
      <w:r>
        <w:t xml:space="preserve"> to help client negotiate providers and appointments</w:t>
      </w:r>
      <w:r w:rsidR="00700B55">
        <w:t>. Client needs to qualify for Medicaid.</w:t>
      </w:r>
      <w:r>
        <w:t xml:space="preserve"> - </w:t>
      </w:r>
      <w:hyperlink r:id="rId7" w:history="1">
        <w:r w:rsidRPr="00FA47A6">
          <w:rPr>
            <w:rStyle w:val="Hyperlink"/>
          </w:rPr>
          <w:t>https://www.medicaid.gov/medicaid/ltss/health-homes/index.html</w:t>
        </w:r>
      </w:hyperlink>
      <w:r>
        <w:t xml:space="preserve"> </w:t>
      </w:r>
    </w:p>
    <w:p w:rsidR="00700B55" w:rsidRDefault="00A66DAD" w:rsidP="002150B7">
      <w:pPr>
        <w:spacing w:line="276" w:lineRule="auto"/>
      </w:pPr>
      <w:r>
        <w:t>Also google for upstate NY:</w:t>
      </w:r>
    </w:p>
    <w:p w:rsidR="009F0223" w:rsidRDefault="009F0223" w:rsidP="00700B55">
      <w:pPr>
        <w:pStyle w:val="ListParagraph"/>
        <w:numPr>
          <w:ilvl w:val="0"/>
          <w:numId w:val="8"/>
        </w:numPr>
        <w:spacing w:line="276" w:lineRule="auto"/>
      </w:pPr>
      <w:r>
        <w:t>Hhuny.org</w:t>
      </w:r>
    </w:p>
    <w:p w:rsidR="009F0223" w:rsidRDefault="009F0223" w:rsidP="00700B55">
      <w:pPr>
        <w:pStyle w:val="ListParagraph"/>
        <w:numPr>
          <w:ilvl w:val="0"/>
          <w:numId w:val="8"/>
        </w:numPr>
        <w:spacing w:line="276" w:lineRule="auto"/>
      </w:pPr>
      <w:r>
        <w:t>chhuny.org (children health homes)</w:t>
      </w:r>
    </w:p>
    <w:p w:rsidR="009F0223" w:rsidRDefault="009F0223" w:rsidP="002150B7">
      <w:pPr>
        <w:spacing w:line="276" w:lineRule="auto"/>
      </w:pPr>
    </w:p>
    <w:p w:rsidR="009F0223" w:rsidRDefault="009F0223" w:rsidP="002150B7">
      <w:pPr>
        <w:spacing w:line="276" w:lineRule="auto"/>
      </w:pPr>
      <w:r w:rsidRPr="008D7523">
        <w:rPr>
          <w:b/>
          <w:i/>
        </w:rPr>
        <w:t>HRH Care Community Health</w:t>
      </w:r>
      <w:r>
        <w:t xml:space="preserve"> – provide migrant-specific health care in the Mid-Hudson and Long Island area - </w:t>
      </w:r>
      <w:hyperlink r:id="rId8" w:history="1">
        <w:r w:rsidRPr="00FA47A6">
          <w:rPr>
            <w:rStyle w:val="Hyperlink"/>
          </w:rPr>
          <w:t>https://www.hrhcare.org</w:t>
        </w:r>
      </w:hyperlink>
      <w:r>
        <w:t xml:space="preserve"> </w:t>
      </w:r>
    </w:p>
    <w:p w:rsidR="009F0223" w:rsidRDefault="009F0223" w:rsidP="002150B7">
      <w:pPr>
        <w:spacing w:line="276" w:lineRule="auto"/>
      </w:pPr>
    </w:p>
    <w:p w:rsidR="009F0223" w:rsidRDefault="009F0223" w:rsidP="002150B7">
      <w:pPr>
        <w:spacing w:line="276" w:lineRule="auto"/>
      </w:pPr>
      <w:r w:rsidRPr="00700B55">
        <w:rPr>
          <w:b/>
          <w:i/>
        </w:rPr>
        <w:t>Substance Abuse</w:t>
      </w:r>
      <w:r>
        <w:t xml:space="preserve"> – NYS Office of </w:t>
      </w:r>
      <w:r w:rsidR="00121478">
        <w:t>Alcoholism</w:t>
      </w:r>
      <w:r>
        <w:t xml:space="preserve"> and Substance Abuse Services (OASAS) –</w:t>
      </w:r>
    </w:p>
    <w:p w:rsidR="009F0223" w:rsidRDefault="00121478" w:rsidP="002150B7">
      <w:pPr>
        <w:spacing w:line="276" w:lineRule="auto"/>
      </w:pPr>
      <w:hyperlink r:id="rId9" w:history="1">
        <w:r w:rsidR="009F0223">
          <w:rPr>
            <w:rStyle w:val="Hyperlink"/>
          </w:rPr>
          <w:t>https://www.oasas.ny.gov/</w:t>
        </w:r>
      </w:hyperlink>
    </w:p>
    <w:p w:rsidR="009F0223" w:rsidRDefault="009F0223" w:rsidP="002150B7">
      <w:pPr>
        <w:spacing w:line="276" w:lineRule="auto"/>
      </w:pPr>
    </w:p>
    <w:p w:rsidR="009F0223" w:rsidRDefault="009F0223" w:rsidP="002150B7">
      <w:pPr>
        <w:spacing w:line="276" w:lineRule="auto"/>
      </w:pPr>
      <w:r w:rsidRPr="00700B55">
        <w:rPr>
          <w:b/>
          <w:i/>
        </w:rPr>
        <w:t xml:space="preserve">National Alliance on Mental Health </w:t>
      </w:r>
      <w:r>
        <w:t xml:space="preserve">– </w:t>
      </w:r>
      <w:hyperlink r:id="rId10" w:history="1">
        <w:r>
          <w:rPr>
            <w:rStyle w:val="Hyperlink"/>
          </w:rPr>
          <w:t>https://nami.org/</w:t>
        </w:r>
      </w:hyperlink>
    </w:p>
    <w:p w:rsidR="009F0223" w:rsidRDefault="0052446C" w:rsidP="002150B7">
      <w:pPr>
        <w:pStyle w:val="ListParagraph"/>
        <w:numPr>
          <w:ilvl w:val="0"/>
          <w:numId w:val="2"/>
        </w:numPr>
        <w:spacing w:line="276" w:lineRule="auto"/>
      </w:pPr>
      <w:r>
        <w:t>Free trainings for inservice; resources, handouts</w:t>
      </w:r>
    </w:p>
    <w:p w:rsidR="0052446C" w:rsidRDefault="0052446C" w:rsidP="002150B7">
      <w:pPr>
        <w:pStyle w:val="ListParagraph"/>
        <w:numPr>
          <w:ilvl w:val="0"/>
          <w:numId w:val="2"/>
        </w:numPr>
        <w:spacing w:line="276" w:lineRule="auto"/>
      </w:pPr>
      <w:r>
        <w:t>Groups for students and families</w:t>
      </w:r>
    </w:p>
    <w:p w:rsidR="0052446C" w:rsidRDefault="0052446C" w:rsidP="002150B7">
      <w:pPr>
        <w:spacing w:line="276" w:lineRule="auto"/>
      </w:pPr>
    </w:p>
    <w:p w:rsidR="0052446C" w:rsidRPr="00700B55" w:rsidRDefault="0052446C" w:rsidP="002150B7">
      <w:pPr>
        <w:spacing w:line="276" w:lineRule="auto"/>
        <w:rPr>
          <w:b/>
          <w:i/>
        </w:rPr>
      </w:pPr>
      <w:r w:rsidRPr="00700B55">
        <w:rPr>
          <w:b/>
          <w:i/>
        </w:rPr>
        <w:t>Programs to connect students to adults</w:t>
      </w:r>
    </w:p>
    <w:p w:rsidR="0052446C" w:rsidRDefault="0052446C" w:rsidP="002150B7">
      <w:pPr>
        <w:pStyle w:val="ListParagraph"/>
        <w:numPr>
          <w:ilvl w:val="0"/>
          <w:numId w:val="3"/>
        </w:numPr>
        <w:spacing w:line="276" w:lineRule="auto"/>
      </w:pPr>
      <w:r>
        <w:t>Big Brother/Sister</w:t>
      </w:r>
    </w:p>
    <w:p w:rsidR="0052446C" w:rsidRDefault="0052446C" w:rsidP="002150B7">
      <w:pPr>
        <w:pStyle w:val="ListParagraph"/>
        <w:numPr>
          <w:ilvl w:val="0"/>
          <w:numId w:val="3"/>
        </w:numPr>
        <w:spacing w:line="276" w:lineRule="auto"/>
      </w:pPr>
      <w:r>
        <w:t>YMCA</w:t>
      </w:r>
    </w:p>
    <w:p w:rsidR="0052446C" w:rsidRDefault="0052446C" w:rsidP="002150B7">
      <w:pPr>
        <w:pStyle w:val="ListParagraph"/>
        <w:numPr>
          <w:ilvl w:val="0"/>
          <w:numId w:val="3"/>
        </w:numPr>
        <w:spacing w:line="276" w:lineRule="auto"/>
      </w:pPr>
      <w:r>
        <w:t>Youth Advocacy Program (YAP)</w:t>
      </w:r>
    </w:p>
    <w:p w:rsidR="0052446C" w:rsidRDefault="0052446C" w:rsidP="002150B7">
      <w:pPr>
        <w:spacing w:line="276" w:lineRule="auto"/>
      </w:pPr>
      <w:r w:rsidRPr="00700B55">
        <w:rPr>
          <w:b/>
          <w:i/>
        </w:rPr>
        <w:t>Eating Disorders</w:t>
      </w:r>
      <w:r>
        <w:t xml:space="preserve"> – NYS Office of Mental Health - </w:t>
      </w:r>
      <w:hyperlink r:id="rId11" w:history="1">
        <w:r>
          <w:rPr>
            <w:rStyle w:val="Hyperlink"/>
          </w:rPr>
          <w:t>https://www.omh.ny.gov/</w:t>
        </w:r>
      </w:hyperlink>
    </w:p>
    <w:p w:rsidR="0052446C" w:rsidRDefault="0052446C" w:rsidP="002150B7">
      <w:pPr>
        <w:pStyle w:val="ListParagraph"/>
        <w:numPr>
          <w:ilvl w:val="0"/>
          <w:numId w:val="4"/>
        </w:numPr>
        <w:spacing w:line="276" w:lineRule="auto"/>
      </w:pPr>
      <w:r>
        <w:t>Best to call the customer service number at the bottom of the home page</w:t>
      </w:r>
    </w:p>
    <w:p w:rsidR="00121478" w:rsidRDefault="00121478" w:rsidP="00121478">
      <w:pPr>
        <w:spacing w:line="276" w:lineRule="auto"/>
        <w:ind w:left="360"/>
      </w:pPr>
    </w:p>
    <w:p w:rsidR="008D7523" w:rsidRDefault="008D7523" w:rsidP="002150B7">
      <w:pPr>
        <w:spacing w:line="276" w:lineRule="auto"/>
        <w:rPr>
          <w:b/>
          <w:u w:val="single"/>
        </w:rPr>
      </w:pPr>
      <w:r w:rsidRPr="002150B7">
        <w:rPr>
          <w:b/>
          <w:u w:val="single"/>
        </w:rPr>
        <w:lastRenderedPageBreak/>
        <w:t xml:space="preserve">About </w:t>
      </w:r>
      <w:r w:rsidRPr="002150B7">
        <w:rPr>
          <w:b/>
          <w:u w:val="single"/>
        </w:rPr>
        <w:t>Finge</w:t>
      </w:r>
      <w:r w:rsidRPr="002150B7">
        <w:rPr>
          <w:b/>
          <w:u w:val="single"/>
        </w:rPr>
        <w:t>r Lakes Community Health (FLCH)</w:t>
      </w:r>
    </w:p>
    <w:p w:rsidR="00121478" w:rsidRPr="002150B7" w:rsidRDefault="00121478" w:rsidP="002150B7">
      <w:pPr>
        <w:spacing w:line="276" w:lineRule="auto"/>
        <w:rPr>
          <w:b/>
          <w:u w:val="single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4"/>
        <w:gridCol w:w="4866"/>
      </w:tblGrid>
      <w:tr w:rsidR="002150B7" w:rsidTr="002150B7">
        <w:tc>
          <w:tcPr>
            <w:tcW w:w="4675" w:type="dxa"/>
          </w:tcPr>
          <w:p w:rsidR="002150B7" w:rsidRPr="002150B7" w:rsidRDefault="002150B7" w:rsidP="002150B7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2150B7">
              <w:t>Federally Qualified Health Center</w:t>
            </w:r>
          </w:p>
          <w:p w:rsidR="002150B7" w:rsidRPr="002150B7" w:rsidRDefault="002150B7" w:rsidP="002150B7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2150B7">
              <w:t xml:space="preserve">7 health center sites </w:t>
            </w:r>
          </w:p>
          <w:p w:rsidR="00000000" w:rsidRPr="002150B7" w:rsidRDefault="00121478" w:rsidP="002150B7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2150B7">
              <w:t>Medical, Dental, and Behavioral</w:t>
            </w:r>
            <w:r w:rsidRPr="002150B7">
              <w:t xml:space="preserve"> Health</w:t>
            </w:r>
          </w:p>
          <w:p w:rsidR="00000000" w:rsidRPr="002150B7" w:rsidRDefault="00121478" w:rsidP="002150B7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2150B7">
              <w:t>Community Health Workers, Patient Navigators, Insurance Enrollers, HHUNY Care Managers</w:t>
            </w:r>
          </w:p>
          <w:p w:rsidR="002150B7" w:rsidRDefault="002150B7" w:rsidP="002150B7">
            <w:pPr>
              <w:spacing w:line="276" w:lineRule="auto"/>
            </w:pPr>
          </w:p>
        </w:tc>
        <w:tc>
          <w:tcPr>
            <w:tcW w:w="4675" w:type="dxa"/>
          </w:tcPr>
          <w:p w:rsidR="002150B7" w:rsidRDefault="002150B7" w:rsidP="002150B7">
            <w:pPr>
              <w:spacing w:line="276" w:lineRule="auto"/>
            </w:pPr>
            <w:r w:rsidRPr="002150B7">
              <w:drawing>
                <wp:inline distT="0" distB="0" distL="0" distR="0" wp14:anchorId="6DEEFB53" wp14:editId="3B1603FB">
                  <wp:extent cx="2952081" cy="2162175"/>
                  <wp:effectExtent l="0" t="0" r="1270" b="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683" cy="221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625" w:rsidRDefault="00DD6625" w:rsidP="002150B7">
      <w:pPr>
        <w:spacing w:line="276" w:lineRule="auto"/>
      </w:pPr>
    </w:p>
    <w:p w:rsidR="002150B7" w:rsidRDefault="00121478" w:rsidP="002150B7">
      <w:pPr>
        <w:spacing w:line="276" w:lineRule="auto"/>
      </w:pPr>
      <w:r w:rsidRPr="00121478">
        <w:rPr>
          <w:b/>
        </w:rPr>
        <w:t>Note:</w:t>
      </w:r>
      <w:r>
        <w:t xml:space="preserve"> </w:t>
      </w:r>
      <w:r w:rsidR="002150B7">
        <w:t>In addition to these counties, FLCH will assist METS with finding healthcare and negotiating payment assistance</w:t>
      </w:r>
      <w:r>
        <w:t xml:space="preserve"> for students and families</w:t>
      </w:r>
      <w:r w:rsidR="002150B7">
        <w:t xml:space="preserve"> in counties not served by the Hudson Valley program, HRH Care Community Health</w:t>
      </w:r>
      <w:r w:rsidR="00700B55">
        <w:t>.</w:t>
      </w:r>
    </w:p>
    <w:p w:rsidR="002150B7" w:rsidRDefault="002150B7" w:rsidP="00DD6625"/>
    <w:p w:rsidR="0052446C" w:rsidRDefault="0052446C" w:rsidP="0052446C"/>
    <w:p w:rsidR="009F0223" w:rsidRDefault="009F0223" w:rsidP="001751C8"/>
    <w:p w:rsidR="009F0223" w:rsidRDefault="009F0223" w:rsidP="001751C8">
      <w:r>
        <w:t xml:space="preserve"> </w:t>
      </w:r>
    </w:p>
    <w:p w:rsidR="009F0223" w:rsidRDefault="009F0223" w:rsidP="001751C8"/>
    <w:p w:rsidR="009F0223" w:rsidRDefault="009F0223" w:rsidP="001751C8"/>
    <w:p w:rsidR="009F0223" w:rsidRDefault="009F0223" w:rsidP="001751C8"/>
    <w:p w:rsidR="00185A64" w:rsidRDefault="00185A64" w:rsidP="001751C8"/>
    <w:p w:rsidR="00693A8D" w:rsidRDefault="00693A8D"/>
    <w:p w:rsidR="00693A8D" w:rsidRDefault="00693A8D"/>
    <w:p w:rsidR="00693A8D" w:rsidRDefault="00693A8D"/>
    <w:sectPr w:rsidR="00693A8D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B55" w:rsidRDefault="00700B55" w:rsidP="00700B55">
      <w:r>
        <w:separator/>
      </w:r>
    </w:p>
  </w:endnote>
  <w:endnote w:type="continuationSeparator" w:id="0">
    <w:p w:rsidR="00700B55" w:rsidRDefault="00700B55" w:rsidP="0070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5323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0B55" w:rsidRDefault="00700B55">
        <w:pPr>
          <w:pStyle w:val="Footer"/>
        </w:pPr>
        <w:r w:rsidRPr="00700B55">
          <w:rPr>
            <w:sz w:val="20"/>
            <w:szCs w:val="20"/>
          </w:rPr>
          <w:t xml:space="preserve">Virtual PD Workshop: “Ask a Clinician,” October 28, 2019; Follow up Notes by NYS-MEP TASC </w:t>
        </w:r>
        <w:r>
          <w:rPr>
            <w:sz w:val="20"/>
            <w:szCs w:val="20"/>
          </w:rPr>
          <w:tab/>
        </w:r>
        <w:r w:rsidRPr="00700B55">
          <w:rPr>
            <w:sz w:val="20"/>
            <w:szCs w:val="20"/>
          </w:rPr>
          <w:t xml:space="preserve">| </w:t>
        </w:r>
        <w:r w:rsidRPr="00700B55">
          <w:rPr>
            <w:sz w:val="20"/>
            <w:szCs w:val="20"/>
          </w:rPr>
          <w:fldChar w:fldCharType="begin"/>
        </w:r>
        <w:r w:rsidRPr="00700B55">
          <w:rPr>
            <w:sz w:val="20"/>
            <w:szCs w:val="20"/>
          </w:rPr>
          <w:instrText xml:space="preserve"> PAGE   \* MERGEFORMAT </w:instrText>
        </w:r>
        <w:r w:rsidRPr="00700B55">
          <w:rPr>
            <w:sz w:val="20"/>
            <w:szCs w:val="20"/>
          </w:rPr>
          <w:fldChar w:fldCharType="separate"/>
        </w:r>
        <w:r w:rsidR="00121478">
          <w:rPr>
            <w:noProof/>
            <w:sz w:val="20"/>
            <w:szCs w:val="20"/>
          </w:rPr>
          <w:t>3</w:t>
        </w:r>
        <w:r w:rsidRPr="00700B55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B55" w:rsidRDefault="00700B55" w:rsidP="00700B55">
      <w:r>
        <w:separator/>
      </w:r>
    </w:p>
  </w:footnote>
  <w:footnote w:type="continuationSeparator" w:id="0">
    <w:p w:rsidR="00700B55" w:rsidRDefault="00700B55" w:rsidP="00700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A3C"/>
    <w:multiLevelType w:val="hybridMultilevel"/>
    <w:tmpl w:val="8682C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7533A"/>
    <w:multiLevelType w:val="hybridMultilevel"/>
    <w:tmpl w:val="CFCC6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13B08"/>
    <w:multiLevelType w:val="hybridMultilevel"/>
    <w:tmpl w:val="A4EA1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55F91"/>
    <w:multiLevelType w:val="hybridMultilevel"/>
    <w:tmpl w:val="3676B88A"/>
    <w:lvl w:ilvl="0" w:tplc="FC7A6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344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84D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43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5C8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D44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980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F40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42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B07734"/>
    <w:multiLevelType w:val="hybridMultilevel"/>
    <w:tmpl w:val="D234A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329E7"/>
    <w:multiLevelType w:val="hybridMultilevel"/>
    <w:tmpl w:val="68564824"/>
    <w:lvl w:ilvl="0" w:tplc="171AB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902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CCB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BC3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FC8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C3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9CB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8B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E4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5331C0E"/>
    <w:multiLevelType w:val="hybridMultilevel"/>
    <w:tmpl w:val="BA0A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E25E8"/>
    <w:multiLevelType w:val="hybridMultilevel"/>
    <w:tmpl w:val="F11C5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8D"/>
    <w:rsid w:val="00121478"/>
    <w:rsid w:val="001363DC"/>
    <w:rsid w:val="001751C8"/>
    <w:rsid w:val="00185A64"/>
    <w:rsid w:val="002150B7"/>
    <w:rsid w:val="004150F8"/>
    <w:rsid w:val="0052446C"/>
    <w:rsid w:val="00577E14"/>
    <w:rsid w:val="00693A8D"/>
    <w:rsid w:val="006E1488"/>
    <w:rsid w:val="00700B55"/>
    <w:rsid w:val="008D7523"/>
    <w:rsid w:val="009F0223"/>
    <w:rsid w:val="00A66DAD"/>
    <w:rsid w:val="00C04E45"/>
    <w:rsid w:val="00D91F9D"/>
    <w:rsid w:val="00DD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CFC35"/>
  <w15:chartTrackingRefBased/>
  <w15:docId w15:val="{670F1009-6201-4475-BEBF-DAA4A4AB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0F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3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22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15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0B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B55"/>
  </w:style>
  <w:style w:type="paragraph" w:styleId="Footer">
    <w:name w:val="footer"/>
    <w:basedOn w:val="Normal"/>
    <w:link w:val="FooterChar"/>
    <w:uiPriority w:val="99"/>
    <w:unhideWhenUsed/>
    <w:rsid w:val="00700B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9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3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hcare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edicaid.gov/medicaid/ltss/health-homes/index.html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mh.ny.gov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ami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asas.ny.g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at Brockport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Anne Diaz</dc:creator>
  <cp:keywords/>
  <dc:description/>
  <cp:lastModifiedBy>Mary Anne Diaz</cp:lastModifiedBy>
  <cp:revision>3</cp:revision>
  <dcterms:created xsi:type="dcterms:W3CDTF">2019-10-30T12:01:00Z</dcterms:created>
  <dcterms:modified xsi:type="dcterms:W3CDTF">2019-10-30T12:09:00Z</dcterms:modified>
</cp:coreProperties>
</file>